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eastAsia="黑体"/>
          <w:w w:val="95"/>
          <w:sz w:val="32"/>
          <w:szCs w:val="32"/>
        </w:rPr>
      </w:pPr>
      <w:r>
        <w:rPr>
          <w:rFonts w:eastAsia="黑体"/>
          <w:w w:val="95"/>
          <w:sz w:val="32"/>
          <w:szCs w:val="32"/>
        </w:rPr>
        <w:t>附件</w:t>
      </w:r>
      <w:r>
        <w:rPr>
          <w:rFonts w:hint="eastAsia" w:eastAsia="黑体"/>
          <w:w w:val="95"/>
          <w:sz w:val="32"/>
          <w:szCs w:val="32"/>
        </w:rPr>
        <w:t>12</w:t>
      </w:r>
    </w:p>
    <w:p>
      <w:pPr>
        <w:spacing w:line="600" w:lineRule="exact"/>
        <w:jc w:val="both"/>
        <w:rPr>
          <w:rFonts w:eastAsia="黑体"/>
          <w:w w:val="95"/>
          <w:sz w:val="32"/>
          <w:szCs w:val="32"/>
        </w:rPr>
      </w:pPr>
    </w:p>
    <w:p>
      <w:pPr>
        <w:spacing w:line="600" w:lineRule="exact"/>
        <w:jc w:val="center"/>
        <w:rPr>
          <w:rFonts w:eastAsia="黑体"/>
          <w:w w:val="95"/>
          <w:sz w:val="44"/>
          <w:szCs w:val="44"/>
        </w:rPr>
      </w:pPr>
      <w:r>
        <w:rPr>
          <w:rFonts w:hint="eastAsia" w:eastAsia="黑体"/>
          <w:w w:val="95"/>
          <w:sz w:val="44"/>
          <w:szCs w:val="44"/>
          <w:lang w:val="en-US" w:eastAsia="zh-CN"/>
        </w:rPr>
        <w:t>天津市滨海新区人民政府海滨街道办事处</w:t>
      </w:r>
      <w:r>
        <w:rPr>
          <w:rFonts w:eastAsia="黑体"/>
          <w:w w:val="95"/>
          <w:sz w:val="44"/>
          <w:szCs w:val="44"/>
        </w:rPr>
        <w:t>20</w:t>
      </w:r>
      <w:r>
        <w:rPr>
          <w:rFonts w:hint="eastAsia" w:eastAsia="黑体"/>
          <w:w w:val="95"/>
          <w:sz w:val="44"/>
          <w:szCs w:val="44"/>
        </w:rPr>
        <w:t>22</w:t>
      </w:r>
      <w:r>
        <w:rPr>
          <w:rFonts w:eastAsia="黑体"/>
          <w:w w:val="95"/>
          <w:sz w:val="44"/>
          <w:szCs w:val="44"/>
        </w:rPr>
        <w:t>年一般公共预算“三公”经费</w:t>
      </w:r>
    </w:p>
    <w:p>
      <w:pPr>
        <w:spacing w:line="600" w:lineRule="exact"/>
        <w:jc w:val="center"/>
        <w:rPr>
          <w:rFonts w:eastAsia="仿宋_GB2312"/>
          <w:sz w:val="32"/>
          <w:szCs w:val="32"/>
        </w:rPr>
      </w:pPr>
      <w:r>
        <w:rPr>
          <w:rFonts w:hint="eastAsia" w:eastAsia="黑体"/>
          <w:w w:val="95"/>
          <w:sz w:val="44"/>
          <w:szCs w:val="44"/>
        </w:rPr>
        <w:t>支出</w:t>
      </w:r>
      <w:r>
        <w:rPr>
          <w:rFonts w:eastAsia="黑体"/>
          <w:w w:val="95"/>
          <w:sz w:val="44"/>
          <w:szCs w:val="44"/>
        </w:rPr>
        <w:t>情况说明</w:t>
      </w:r>
    </w:p>
    <w:p>
      <w:pPr>
        <w:spacing w:line="5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楷体_GB2312"/>
          <w:sz w:val="30"/>
          <w:szCs w:val="30"/>
        </w:rPr>
        <w:t>20</w:t>
      </w:r>
      <w:r>
        <w:rPr>
          <w:rFonts w:hint="eastAsia" w:eastAsia="楷体_GB2312"/>
          <w:sz w:val="30"/>
          <w:szCs w:val="30"/>
        </w:rPr>
        <w:t>22</w:t>
      </w:r>
      <w:r>
        <w:rPr>
          <w:rFonts w:eastAsia="仿宋_GB2312"/>
          <w:sz w:val="30"/>
          <w:szCs w:val="30"/>
        </w:rPr>
        <w:t>年一般公共预算“三公”经费安排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27.28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万元，与20</w:t>
      </w:r>
      <w:r>
        <w:rPr>
          <w:rFonts w:hint="eastAsia"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年预算相比减少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7.72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厉行节约，缩减三公支出</w:t>
      </w:r>
      <w:r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</w:rPr>
        <w:t>。具体情况：</w:t>
      </w:r>
    </w:p>
    <w:p>
      <w:pPr>
        <w:spacing w:line="560" w:lineRule="exact"/>
        <w:ind w:firstLine="600" w:firstLineChars="200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一、</w:t>
      </w:r>
      <w:r>
        <w:rPr>
          <w:rFonts w:eastAsia="楷体_GB2312"/>
          <w:sz w:val="30"/>
          <w:szCs w:val="30"/>
        </w:rPr>
        <w:t>20</w:t>
      </w:r>
      <w:r>
        <w:rPr>
          <w:rFonts w:hint="eastAsia" w:eastAsia="楷体_GB2312"/>
          <w:sz w:val="30"/>
          <w:szCs w:val="30"/>
        </w:rPr>
        <w:t>22</w:t>
      </w:r>
      <w:r>
        <w:rPr>
          <w:rFonts w:eastAsia="仿宋_GB2312"/>
          <w:sz w:val="30"/>
          <w:szCs w:val="30"/>
        </w:rPr>
        <w:t>年因公出国（境）费预算</w:t>
      </w:r>
      <w:r>
        <w:rPr>
          <w:rFonts w:eastAsia="仿宋_GB2312"/>
          <w:sz w:val="30"/>
          <w:szCs w:val="30"/>
          <w:u w:val="single"/>
        </w:rPr>
        <w:t xml:space="preserve"> 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0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万元，与20</w:t>
      </w:r>
      <w:r>
        <w:rPr>
          <w:rFonts w:hint="eastAsia"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年预算相比增加（减少）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0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无出国（境）计划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。</w:t>
      </w:r>
    </w:p>
    <w:p>
      <w:pPr>
        <w:spacing w:line="560" w:lineRule="exact"/>
        <w:ind w:firstLine="600" w:firstLineChars="200"/>
        <w:jc w:val="both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二、</w:t>
      </w:r>
      <w:r>
        <w:rPr>
          <w:rFonts w:eastAsia="楷体_GB2312"/>
          <w:sz w:val="30"/>
          <w:szCs w:val="30"/>
        </w:rPr>
        <w:t>20</w:t>
      </w:r>
      <w:r>
        <w:rPr>
          <w:rFonts w:hint="eastAsia" w:eastAsia="楷体_GB2312"/>
          <w:sz w:val="30"/>
          <w:szCs w:val="30"/>
        </w:rPr>
        <w:t>22</w:t>
      </w:r>
      <w:r>
        <w:rPr>
          <w:rFonts w:eastAsia="仿宋_GB2312"/>
          <w:sz w:val="30"/>
          <w:szCs w:val="30"/>
        </w:rPr>
        <w:t>年公务用车购置及运行费预算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25.98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万元，其中公务用车运行费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25.98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万元，与20</w:t>
      </w:r>
      <w:r>
        <w:rPr>
          <w:rFonts w:hint="eastAsia"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年预算相比减少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9.02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厉行节约，缩减三公支出</w:t>
      </w:r>
      <w:r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</w:rPr>
        <w:t>；公务用车购置费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0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万元，与20</w:t>
      </w:r>
      <w:r>
        <w:rPr>
          <w:rFonts w:hint="eastAsia"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年预算相比增加（减少）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0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无购置公务用车计划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。</w:t>
      </w:r>
    </w:p>
    <w:p>
      <w:pPr>
        <w:spacing w:line="560" w:lineRule="exact"/>
        <w:ind w:firstLine="645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三、</w:t>
      </w:r>
      <w:r>
        <w:rPr>
          <w:rFonts w:eastAsia="楷体_GB2312"/>
          <w:sz w:val="30"/>
          <w:szCs w:val="30"/>
        </w:rPr>
        <w:t>20</w:t>
      </w:r>
      <w:r>
        <w:rPr>
          <w:rFonts w:hint="eastAsia" w:eastAsia="楷体_GB2312"/>
          <w:sz w:val="30"/>
          <w:szCs w:val="30"/>
        </w:rPr>
        <w:t>22</w:t>
      </w:r>
      <w:r>
        <w:rPr>
          <w:rFonts w:eastAsia="仿宋_GB2312"/>
          <w:sz w:val="30"/>
          <w:szCs w:val="30"/>
        </w:rPr>
        <w:t>年公务接待费预算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1.3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万元，与20</w:t>
      </w:r>
      <w:r>
        <w:rPr>
          <w:rFonts w:hint="eastAsia" w:eastAsia="仿宋_GB2312"/>
          <w:sz w:val="30"/>
          <w:szCs w:val="30"/>
        </w:rPr>
        <w:t>21</w:t>
      </w:r>
      <w:r>
        <w:rPr>
          <w:rFonts w:eastAsia="仿宋_GB2312"/>
          <w:sz w:val="30"/>
          <w:szCs w:val="30"/>
        </w:rPr>
        <w:t>年预算相比增加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1.3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万元，主要原因是</w:t>
      </w:r>
      <w:r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hint="eastAsia" w:eastAsia="仿宋_GB2312"/>
          <w:sz w:val="30"/>
          <w:szCs w:val="30"/>
          <w:u w:val="single"/>
          <w:lang w:val="en-US" w:eastAsia="zh-CN"/>
        </w:rPr>
        <w:t>按照需求预计支出</w:t>
      </w:r>
      <w:r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</w:rPr>
        <w:t>。</w:t>
      </w:r>
    </w:p>
    <w:p>
      <w:pPr>
        <w:spacing w:line="580" w:lineRule="exact"/>
        <w:rPr>
          <w:rFonts w:eastAsia="黑体"/>
          <w:sz w:val="36"/>
          <w:szCs w:val="36"/>
        </w:rPr>
      </w:pPr>
    </w:p>
    <w:p>
      <w:pPr>
        <w:spacing w:line="580" w:lineRule="exact"/>
        <w:rPr>
          <w:rFonts w:eastAsia="楷体_GB2312"/>
          <w:sz w:val="30"/>
          <w:szCs w:val="3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S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927731"/>
    <w:rsid w:val="65927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60" w:lineRule="atLeast"/>
      <w:textAlignment w:val="baseline"/>
    </w:pPr>
    <w:rPr>
      <w:rFonts w:ascii="MS Serif" w:hAnsi="MS Serif" w:eastAsia="宋体" w:cs="Times New Roman"/>
      <w:sz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2022-02-10T01:05:00Z</dcterms:created>
  <dc:creator>admin</dc:creator>
  <cp:lastModifiedBy>admin</cp:lastModifiedBy>
  <dcterms:modified xsi:type="dcterms:W3CDTF">2022-02-10T01:06:51Z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D4664717288C462D8269459E33EC462F</vt:lpwstr>
  </property>
</Properties>
</file>